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Mar>
          <w:top w:w="15" w:type="dxa"/>
          <w:left w:w="15" w:type="dxa"/>
          <w:bottom w:w="15" w:type="dxa"/>
          <w:right w:w="15" w:type="dxa"/>
        </w:tblCellMar>
        <w:tblLook w:val="04A0"/>
      </w:tblPr>
      <w:tblGrid>
        <w:gridCol w:w="12000"/>
      </w:tblGrid>
      <w:tr w:rsidR="00BC7DC9" w:rsidRPr="00BC7DC9" w:rsidTr="00B638DD">
        <w:trPr>
          <w:trHeight w:val="10170"/>
          <w:jc w:val="center"/>
        </w:trPr>
        <w:tc>
          <w:tcPr>
            <w:tcW w:w="0" w:type="auto"/>
            <w:tcMar>
              <w:top w:w="0" w:type="dxa"/>
              <w:left w:w="150" w:type="dxa"/>
              <w:bottom w:w="0" w:type="dxa"/>
              <w:right w:w="150" w:type="dxa"/>
            </w:tcMar>
            <w:vAlign w:val="center"/>
            <w:hideMark/>
          </w:tcPr>
          <w:p w:rsidR="00BC7DC9" w:rsidRPr="00BC7DC9" w:rsidRDefault="00BC7DC9" w:rsidP="00E91C61">
            <w:pPr>
              <w:spacing w:before="100" w:beforeAutospacing="1" w:after="100" w:afterAutospacing="1" w:line="240" w:lineRule="auto"/>
              <w:ind w:left="540" w:right="360"/>
              <w:rPr>
                <w:rFonts w:ascii="Arial" w:eastAsia="Times New Roman" w:hAnsi="Arial" w:cs="Arial"/>
                <w:sz w:val="20"/>
                <w:szCs w:val="20"/>
              </w:rPr>
            </w:pPr>
            <w:r w:rsidRPr="00BC7DC9">
              <w:rPr>
                <w:rFonts w:ascii="Arial" w:eastAsia="Times New Roman" w:hAnsi="Arial" w:cs="Arial"/>
                <w:sz w:val="20"/>
                <w:szCs w:val="20"/>
              </w:rPr>
              <w:t xml:space="preserve">The Renaissance was a time of rebirth in learning, science, and the arts throughout Europe. The rediscovery of the writings of ancient Greece and Rome led to a renewed interest in learning in general. The invention of the printing press allowed the disbursement of this knowledge in an unprecedented manner. The invention of the compass permitted the navigation of the world’s oceans and the subsequent discovery of lands far removed from the European continent. With Copernicus’ discovery of the actual position of the earth in the solar system and Martin Luther’s Protestant Reformation, the Catholic Church lost its grip on society and a humanist spirit was born. This spirit manifested itself in the painting and sculpture of Michelangelo, the plays of Shakespeare, and in both the </w:t>
            </w:r>
            <w:hyperlink r:id="rId6" w:anchor="josquin" w:history="1">
              <w:r w:rsidRPr="00BC7DC9">
                <w:rPr>
                  <w:rFonts w:ascii="Arial" w:eastAsia="Times New Roman" w:hAnsi="Arial" w:cs="Arial"/>
                  <w:color w:val="183C72"/>
                  <w:sz w:val="20"/>
                  <w:u w:val="single"/>
                </w:rPr>
                <w:t>sacred</w:t>
              </w:r>
            </w:hyperlink>
            <w:r w:rsidRPr="00BC7DC9">
              <w:rPr>
                <w:rFonts w:ascii="Arial" w:eastAsia="Times New Roman" w:hAnsi="Arial" w:cs="Arial"/>
                <w:sz w:val="20"/>
                <w:szCs w:val="20"/>
              </w:rPr>
              <w:t xml:space="preserve"> and secular </w:t>
            </w:r>
            <w:hyperlink r:id="rId7" w:anchor="dance" w:history="1">
              <w:r w:rsidRPr="00BC7DC9">
                <w:rPr>
                  <w:rFonts w:ascii="Arial" w:eastAsia="Times New Roman" w:hAnsi="Arial" w:cs="Arial"/>
                  <w:color w:val="183C72"/>
                  <w:sz w:val="20"/>
                  <w:u w:val="single"/>
                </w:rPr>
                <w:t>dance</w:t>
              </w:r>
            </w:hyperlink>
            <w:r w:rsidRPr="00BC7DC9">
              <w:rPr>
                <w:rFonts w:ascii="Arial" w:eastAsia="Times New Roman" w:hAnsi="Arial" w:cs="Arial"/>
                <w:sz w:val="20"/>
                <w:szCs w:val="20"/>
              </w:rPr>
              <w:t xml:space="preserve"> and </w:t>
            </w:r>
            <w:hyperlink r:id="rId8" w:anchor="madrigal" w:history="1">
              <w:r w:rsidRPr="00BC7DC9">
                <w:rPr>
                  <w:rFonts w:ascii="Arial" w:eastAsia="Times New Roman" w:hAnsi="Arial" w:cs="Arial"/>
                  <w:color w:val="183C72"/>
                  <w:sz w:val="20"/>
                  <w:u w:val="single"/>
                </w:rPr>
                <w:t>vocal</w:t>
              </w:r>
            </w:hyperlink>
            <w:r w:rsidRPr="00BC7DC9">
              <w:rPr>
                <w:rFonts w:ascii="Arial" w:eastAsia="Times New Roman" w:hAnsi="Arial" w:cs="Arial"/>
                <w:sz w:val="20"/>
                <w:szCs w:val="20"/>
              </w:rPr>
              <w:t xml:space="preserve"> music of the greatest composers of the era. </w:t>
            </w:r>
          </w:p>
          <w:p w:rsidR="00BC7DC9" w:rsidRPr="00BC7DC9" w:rsidRDefault="00BC7DC9" w:rsidP="00E91C61">
            <w:pPr>
              <w:spacing w:before="75" w:after="75" w:line="240" w:lineRule="auto"/>
              <w:ind w:left="540" w:right="360"/>
              <w:rPr>
                <w:rFonts w:ascii="Arial" w:eastAsia="Times New Roman" w:hAnsi="Arial" w:cs="Arial"/>
                <w:b/>
                <w:bCs/>
                <w:sz w:val="28"/>
                <w:szCs w:val="28"/>
              </w:rPr>
            </w:pPr>
            <w:bookmarkStart w:id="0" w:name="dance"/>
            <w:bookmarkEnd w:id="0"/>
            <w:r>
              <w:rPr>
                <w:rFonts w:ascii="Arial" w:eastAsia="Times New Roman" w:hAnsi="Arial" w:cs="Arial"/>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724025" cy="1266825"/>
                  <wp:effectExtent l="19050" t="0" r="9525" b="0"/>
                  <wp:wrapTight wrapText="bothSides">
                    <wp:wrapPolygon edited="0">
                      <wp:start x="-239" y="0"/>
                      <wp:lineTo x="-239" y="21438"/>
                      <wp:lineTo x="21719" y="21438"/>
                      <wp:lineTo x="21719" y="0"/>
                      <wp:lineTo x="-239" y="0"/>
                    </wp:wrapPolygon>
                  </wp:wrapTight>
                  <wp:docPr id="3" name="Picture 3" descr="painting of Renaissance musicians in church pro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ing of Renaissance musicians in church procession"/>
                          <pic:cNvPicPr>
                            <a:picLocks noChangeAspect="1" noChangeArrowheads="1"/>
                          </pic:cNvPicPr>
                        </pic:nvPicPr>
                        <pic:blipFill>
                          <a:blip r:embed="rId9" cstate="print"/>
                          <a:srcRect/>
                          <a:stretch>
                            <a:fillRect/>
                          </a:stretch>
                        </pic:blipFill>
                        <pic:spPr bwMode="auto">
                          <a:xfrm>
                            <a:off x="0" y="0"/>
                            <a:ext cx="1724025" cy="1266825"/>
                          </a:xfrm>
                          <a:prstGeom prst="rect">
                            <a:avLst/>
                          </a:prstGeom>
                          <a:noFill/>
                          <a:ln w="9525">
                            <a:noFill/>
                            <a:miter lim="800000"/>
                            <a:headEnd/>
                            <a:tailEnd/>
                          </a:ln>
                        </pic:spPr>
                      </pic:pic>
                    </a:graphicData>
                  </a:graphic>
                </wp:anchor>
              </w:drawing>
            </w:r>
            <w:r>
              <w:rPr>
                <w:rFonts w:ascii="Arial" w:eastAsia="Times New Roman" w:hAnsi="Arial" w:cs="Arial"/>
                <w:b/>
                <w:bCs/>
                <w:sz w:val="28"/>
                <w:szCs w:val="28"/>
              </w:rPr>
              <w:t>Da</w:t>
            </w:r>
            <w:r w:rsidRPr="00BC7DC9">
              <w:rPr>
                <w:rFonts w:ascii="Arial" w:eastAsia="Times New Roman" w:hAnsi="Arial" w:cs="Arial"/>
                <w:b/>
                <w:bCs/>
                <w:sz w:val="28"/>
                <w:szCs w:val="28"/>
              </w:rPr>
              <w:t xml:space="preserve">nce music of the Renaissance </w:t>
            </w:r>
          </w:p>
          <w:p w:rsidR="00BC7DC9" w:rsidRPr="00BC7DC9" w:rsidRDefault="00BC7DC9" w:rsidP="00E91C61">
            <w:pPr>
              <w:spacing w:before="100" w:beforeAutospacing="1" w:after="100" w:afterAutospacing="1" w:line="240" w:lineRule="auto"/>
              <w:ind w:left="540" w:right="360"/>
              <w:rPr>
                <w:rFonts w:ascii="Arial" w:eastAsia="Times New Roman" w:hAnsi="Arial" w:cs="Arial"/>
                <w:sz w:val="20"/>
                <w:szCs w:val="20"/>
              </w:rPr>
            </w:pPr>
            <w:r w:rsidRPr="00BC7DC9">
              <w:rPr>
                <w:rFonts w:ascii="Arial" w:eastAsia="Times New Roman" w:hAnsi="Arial" w:cs="Arial"/>
                <w:sz w:val="20"/>
                <w:szCs w:val="20"/>
              </w:rPr>
              <w:t xml:space="preserve">Throughout the Renaissance instrumental dance music flowered and thrived, and was composed, or more likely improvised, by many people. Musicians whose names have come down to us collected much of this existing music and had it published in various volumes over the years. The </w:t>
            </w:r>
            <w:r w:rsidRPr="00BC7DC9">
              <w:rPr>
                <w:rFonts w:ascii="Arial" w:eastAsia="Times New Roman" w:hAnsi="Arial" w:cs="Arial"/>
                <w:i/>
                <w:iCs/>
                <w:sz w:val="20"/>
              </w:rPr>
              <w:t>Terpsichore</w:t>
            </w:r>
            <w:r w:rsidRPr="00BC7DC9">
              <w:rPr>
                <w:rFonts w:ascii="Arial" w:eastAsia="Times New Roman" w:hAnsi="Arial" w:cs="Arial"/>
                <w:sz w:val="20"/>
                <w:szCs w:val="20"/>
              </w:rPr>
              <w:t xml:space="preserve"> of </w:t>
            </w:r>
            <w:r w:rsidRPr="00BC7DC9">
              <w:rPr>
                <w:rFonts w:ascii="Arial" w:eastAsia="Times New Roman" w:hAnsi="Arial" w:cs="Arial"/>
                <w:b/>
                <w:bCs/>
                <w:sz w:val="20"/>
              </w:rPr>
              <w:t xml:space="preserve">Michael </w:t>
            </w:r>
            <w:proofErr w:type="spellStart"/>
            <w:r w:rsidRPr="00BC7DC9">
              <w:rPr>
                <w:rFonts w:ascii="Arial" w:eastAsia="Times New Roman" w:hAnsi="Arial" w:cs="Arial"/>
                <w:b/>
                <w:bCs/>
                <w:sz w:val="20"/>
              </w:rPr>
              <w:t>Praetorius</w:t>
            </w:r>
            <w:proofErr w:type="spellEnd"/>
            <w:r w:rsidRPr="00BC7DC9">
              <w:rPr>
                <w:rFonts w:ascii="Arial" w:eastAsia="Times New Roman" w:hAnsi="Arial" w:cs="Arial"/>
                <w:b/>
                <w:bCs/>
                <w:sz w:val="20"/>
              </w:rPr>
              <w:t xml:space="preserve"> (c.1571-1621)</w:t>
            </w:r>
            <w:r w:rsidRPr="00BC7DC9">
              <w:rPr>
                <w:rFonts w:ascii="Arial" w:eastAsia="Times New Roman" w:hAnsi="Arial" w:cs="Arial"/>
                <w:sz w:val="20"/>
                <w:szCs w:val="20"/>
              </w:rPr>
              <w:t xml:space="preserve"> and the dance music of </w:t>
            </w:r>
            <w:proofErr w:type="spellStart"/>
            <w:r w:rsidRPr="00BC7DC9">
              <w:rPr>
                <w:rFonts w:ascii="Arial" w:eastAsia="Times New Roman" w:hAnsi="Arial" w:cs="Arial"/>
                <w:b/>
                <w:bCs/>
                <w:sz w:val="20"/>
              </w:rPr>
              <w:t>Tielman</w:t>
            </w:r>
            <w:proofErr w:type="spellEnd"/>
            <w:r w:rsidRPr="00BC7DC9">
              <w:rPr>
                <w:rFonts w:ascii="Arial" w:eastAsia="Times New Roman" w:hAnsi="Arial" w:cs="Arial"/>
                <w:b/>
                <w:bCs/>
                <w:sz w:val="20"/>
              </w:rPr>
              <w:t xml:space="preserve"> </w:t>
            </w:r>
            <w:proofErr w:type="spellStart"/>
            <w:r w:rsidRPr="00BC7DC9">
              <w:rPr>
                <w:rFonts w:ascii="Arial" w:eastAsia="Times New Roman" w:hAnsi="Arial" w:cs="Arial"/>
                <w:b/>
                <w:bCs/>
                <w:sz w:val="20"/>
              </w:rPr>
              <w:t>Susato</w:t>
            </w:r>
            <w:proofErr w:type="spellEnd"/>
            <w:r w:rsidRPr="00BC7DC9">
              <w:rPr>
                <w:rFonts w:ascii="Arial" w:eastAsia="Times New Roman" w:hAnsi="Arial" w:cs="Arial"/>
                <w:b/>
                <w:bCs/>
                <w:sz w:val="20"/>
              </w:rPr>
              <w:t xml:space="preserve"> (c.1500-1561)</w:t>
            </w:r>
            <w:r w:rsidRPr="00BC7DC9">
              <w:rPr>
                <w:rFonts w:ascii="Arial" w:eastAsia="Times New Roman" w:hAnsi="Arial" w:cs="Arial"/>
                <w:sz w:val="20"/>
                <w:szCs w:val="20"/>
              </w:rPr>
              <w:t xml:space="preserve"> represent some of the outstanding examples of dance music from the late Renaissance. A piece such as </w:t>
            </w:r>
            <w:hyperlink r:id="rId10" w:history="1">
              <w:r w:rsidRPr="00BC7DC9">
                <w:rPr>
                  <w:rFonts w:ascii="Arial" w:eastAsia="Times New Roman" w:hAnsi="Arial" w:cs="Arial"/>
                  <w:color w:val="183C72"/>
                  <w:sz w:val="20"/>
                  <w:u w:val="single"/>
                </w:rPr>
                <w:t xml:space="preserve">La </w:t>
              </w:r>
              <w:proofErr w:type="spellStart"/>
              <w:r w:rsidRPr="00BC7DC9">
                <w:rPr>
                  <w:rFonts w:ascii="Arial" w:eastAsia="Times New Roman" w:hAnsi="Arial" w:cs="Arial"/>
                  <w:color w:val="183C72"/>
                  <w:sz w:val="20"/>
                  <w:u w:val="single"/>
                </w:rPr>
                <w:t>Spagna</w:t>
              </w:r>
              <w:proofErr w:type="spellEnd"/>
            </w:hyperlink>
            <w:r w:rsidRPr="00BC7DC9">
              <w:rPr>
                <w:rFonts w:ascii="Arial" w:eastAsia="Times New Roman" w:hAnsi="Arial" w:cs="Arial"/>
                <w:sz w:val="20"/>
                <w:szCs w:val="20"/>
              </w:rPr>
              <w:t xml:space="preserve"> , (attributed to </w:t>
            </w:r>
            <w:hyperlink r:id="rId11" w:anchor="josquin" w:history="1">
              <w:proofErr w:type="spellStart"/>
              <w:r w:rsidRPr="00BC7DC9">
                <w:rPr>
                  <w:rFonts w:ascii="Arial" w:eastAsia="Times New Roman" w:hAnsi="Arial" w:cs="Arial"/>
                  <w:color w:val="183C72"/>
                  <w:sz w:val="20"/>
                  <w:u w:val="single"/>
                </w:rPr>
                <w:t>Josquin</w:t>
              </w:r>
              <w:proofErr w:type="spellEnd"/>
              <w:r w:rsidRPr="00BC7DC9">
                <w:rPr>
                  <w:rFonts w:ascii="Arial" w:eastAsia="Times New Roman" w:hAnsi="Arial" w:cs="Arial"/>
                  <w:color w:val="183C72"/>
                  <w:sz w:val="20"/>
                  <w:u w:val="single"/>
                </w:rPr>
                <w:t xml:space="preserve"> des </w:t>
              </w:r>
              <w:proofErr w:type="spellStart"/>
              <w:r w:rsidRPr="00BC7DC9">
                <w:rPr>
                  <w:rFonts w:ascii="Arial" w:eastAsia="Times New Roman" w:hAnsi="Arial" w:cs="Arial"/>
                  <w:color w:val="183C72"/>
                  <w:sz w:val="20"/>
                  <w:u w:val="single"/>
                </w:rPr>
                <w:t>Prez</w:t>
              </w:r>
              <w:proofErr w:type="spellEnd"/>
            </w:hyperlink>
            <w:r w:rsidRPr="00BC7DC9">
              <w:rPr>
                <w:rFonts w:ascii="Arial" w:eastAsia="Times New Roman" w:hAnsi="Arial" w:cs="Arial"/>
                <w:sz w:val="20"/>
                <w:szCs w:val="20"/>
              </w:rPr>
              <w:t xml:space="preserve">) is an excellent example of the buoyant rhythms and sounds of the Renaissance dance. Many of these dance forms were modified and developed by later composers and found their way into the </w:t>
            </w:r>
            <w:hyperlink r:id="rId12" w:history="1">
              <w:r w:rsidRPr="00BC7DC9">
                <w:rPr>
                  <w:rFonts w:ascii="Arial" w:eastAsia="Times New Roman" w:hAnsi="Arial" w:cs="Arial"/>
                  <w:color w:val="183C72"/>
                  <w:sz w:val="20"/>
                  <w:u w:val="single"/>
                </w:rPr>
                <w:t>Baroque</w:t>
              </w:r>
            </w:hyperlink>
            <w:r w:rsidRPr="00BC7DC9">
              <w:rPr>
                <w:rFonts w:ascii="Arial" w:eastAsia="Times New Roman" w:hAnsi="Arial" w:cs="Arial"/>
                <w:sz w:val="20"/>
                <w:szCs w:val="20"/>
              </w:rPr>
              <w:t xml:space="preserve"> </w:t>
            </w:r>
            <w:r w:rsidRPr="00BC7DC9">
              <w:rPr>
                <w:rFonts w:ascii="Arial" w:eastAsia="Times New Roman" w:hAnsi="Arial" w:cs="Arial"/>
                <w:i/>
                <w:iCs/>
                <w:sz w:val="20"/>
              </w:rPr>
              <w:t>dance suite</w:t>
            </w:r>
            <w:r w:rsidRPr="00BC7DC9">
              <w:rPr>
                <w:rFonts w:ascii="Arial" w:eastAsia="Times New Roman" w:hAnsi="Arial" w:cs="Arial"/>
                <w:sz w:val="20"/>
                <w:szCs w:val="20"/>
              </w:rPr>
              <w:t xml:space="preserve">. </w:t>
            </w:r>
          </w:p>
          <w:p w:rsidR="00BC7DC9" w:rsidRPr="00BC7DC9" w:rsidRDefault="00BC7DC9" w:rsidP="00E91C61">
            <w:pPr>
              <w:spacing w:before="75" w:after="75" w:line="240" w:lineRule="auto"/>
              <w:ind w:left="540" w:right="360"/>
              <w:rPr>
                <w:rFonts w:ascii="Arial" w:eastAsia="Times New Roman" w:hAnsi="Arial" w:cs="Arial"/>
                <w:b/>
                <w:bCs/>
                <w:sz w:val="28"/>
                <w:szCs w:val="28"/>
              </w:rPr>
            </w:pPr>
            <w:bookmarkStart w:id="1" w:name="josquin"/>
            <w:bookmarkEnd w:id="1"/>
            <w:r>
              <w:rPr>
                <w:rFonts w:ascii="Arial" w:eastAsia="Times New Roman" w:hAnsi="Arial" w:cs="Arial"/>
                <w:noProof/>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2295525" cy="1000125"/>
                  <wp:effectExtent l="19050" t="0" r="9525" b="0"/>
                  <wp:wrapTight wrapText="bothSides">
                    <wp:wrapPolygon edited="0">
                      <wp:start x="-179" y="0"/>
                      <wp:lineTo x="-179" y="21394"/>
                      <wp:lineTo x="21690" y="21394"/>
                      <wp:lineTo x="21690" y="0"/>
                      <wp:lineTo x="-179" y="0"/>
                    </wp:wrapPolygon>
                  </wp:wrapTight>
                  <wp:docPr id="5" name="Picture 5" descr="sheet music and sketch of Josquin des P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et music and sketch of Josquin des Prez"/>
                          <pic:cNvPicPr>
                            <a:picLocks noChangeAspect="1" noChangeArrowheads="1"/>
                          </pic:cNvPicPr>
                        </pic:nvPicPr>
                        <pic:blipFill>
                          <a:blip r:embed="rId13" cstate="print"/>
                          <a:srcRect/>
                          <a:stretch>
                            <a:fillRect/>
                          </a:stretch>
                        </pic:blipFill>
                        <pic:spPr bwMode="auto">
                          <a:xfrm>
                            <a:off x="0" y="0"/>
                            <a:ext cx="2295525" cy="1000125"/>
                          </a:xfrm>
                          <a:prstGeom prst="rect">
                            <a:avLst/>
                          </a:prstGeom>
                          <a:noFill/>
                          <a:ln w="9525">
                            <a:noFill/>
                            <a:miter lim="800000"/>
                            <a:headEnd/>
                            <a:tailEnd/>
                          </a:ln>
                        </pic:spPr>
                      </pic:pic>
                    </a:graphicData>
                  </a:graphic>
                </wp:anchor>
              </w:drawing>
            </w:r>
            <w:r w:rsidR="00B638DD">
              <w:rPr>
                <w:rFonts w:ascii="Arial" w:eastAsia="Times New Roman" w:hAnsi="Arial" w:cs="Arial"/>
                <w:b/>
                <w:bCs/>
                <w:sz w:val="28"/>
                <w:szCs w:val="28"/>
              </w:rPr>
              <w:t>T</w:t>
            </w:r>
            <w:r w:rsidRPr="00BC7DC9">
              <w:rPr>
                <w:rFonts w:ascii="Arial" w:eastAsia="Times New Roman" w:hAnsi="Arial" w:cs="Arial"/>
                <w:b/>
                <w:bCs/>
                <w:sz w:val="28"/>
                <w:szCs w:val="28"/>
              </w:rPr>
              <w:t xml:space="preserve">he Golden Age of Polyphony </w:t>
            </w:r>
          </w:p>
          <w:p w:rsidR="00BC7DC9" w:rsidRPr="00BC7DC9" w:rsidRDefault="00BC7DC9" w:rsidP="00E91C61">
            <w:pPr>
              <w:spacing w:before="100" w:beforeAutospacing="1" w:after="0" w:line="240" w:lineRule="auto"/>
              <w:ind w:left="540" w:right="360"/>
              <w:outlineLvl w:val="2"/>
              <w:rPr>
                <w:rFonts w:ascii="Arial" w:eastAsia="Times New Roman" w:hAnsi="Arial" w:cs="Arial"/>
                <w:b/>
                <w:bCs/>
                <w:sz w:val="26"/>
                <w:szCs w:val="26"/>
              </w:rPr>
            </w:pPr>
            <w:proofErr w:type="spellStart"/>
            <w:r w:rsidRPr="00BC7DC9">
              <w:rPr>
                <w:rFonts w:ascii="Arial" w:eastAsia="Times New Roman" w:hAnsi="Arial" w:cs="Arial"/>
                <w:b/>
                <w:bCs/>
                <w:sz w:val="26"/>
                <w:szCs w:val="26"/>
              </w:rPr>
              <w:t>Josquin</w:t>
            </w:r>
            <w:proofErr w:type="spellEnd"/>
            <w:r w:rsidRPr="00BC7DC9">
              <w:rPr>
                <w:rFonts w:ascii="Arial" w:eastAsia="Times New Roman" w:hAnsi="Arial" w:cs="Arial"/>
                <w:b/>
                <w:bCs/>
                <w:sz w:val="26"/>
                <w:szCs w:val="26"/>
              </w:rPr>
              <w:t xml:space="preserve"> des </w:t>
            </w:r>
            <w:proofErr w:type="spellStart"/>
            <w:r w:rsidRPr="00BC7DC9">
              <w:rPr>
                <w:rFonts w:ascii="Arial" w:eastAsia="Times New Roman" w:hAnsi="Arial" w:cs="Arial"/>
                <w:b/>
                <w:bCs/>
                <w:sz w:val="26"/>
                <w:szCs w:val="26"/>
              </w:rPr>
              <w:t>Prez</w:t>
            </w:r>
            <w:proofErr w:type="spellEnd"/>
            <w:r w:rsidRPr="00BC7DC9">
              <w:rPr>
                <w:rFonts w:ascii="Arial" w:eastAsia="Times New Roman" w:hAnsi="Arial" w:cs="Arial"/>
                <w:b/>
                <w:bCs/>
                <w:sz w:val="26"/>
                <w:szCs w:val="26"/>
              </w:rPr>
              <w:t xml:space="preserve"> </w:t>
            </w:r>
            <w:r w:rsidR="00B638DD" w:rsidRPr="00B638DD">
              <w:rPr>
                <w:rFonts w:ascii="Arial" w:eastAsia="Times New Roman" w:hAnsi="Arial" w:cs="Arial"/>
                <w:b/>
                <w:bCs/>
                <w:sz w:val="20"/>
                <w:szCs w:val="26"/>
              </w:rPr>
              <w:t>(</w:t>
            </w:r>
            <w:r w:rsidRPr="00BC7DC9">
              <w:rPr>
                <w:rFonts w:ascii="Arial" w:eastAsia="Times New Roman" w:hAnsi="Arial" w:cs="Arial"/>
                <w:b/>
                <w:bCs/>
                <w:sz w:val="16"/>
              </w:rPr>
              <w:t>Born: (Burgundy), c. 1440</w:t>
            </w:r>
            <w:r w:rsidR="00B638DD" w:rsidRPr="00B638DD">
              <w:rPr>
                <w:rFonts w:ascii="Arial" w:eastAsia="Times New Roman" w:hAnsi="Arial" w:cs="Arial"/>
                <w:b/>
                <w:bCs/>
                <w:sz w:val="16"/>
              </w:rPr>
              <w:t>; Died: Condé-</w:t>
            </w:r>
            <w:proofErr w:type="spellStart"/>
            <w:r w:rsidR="00B638DD" w:rsidRPr="00B638DD">
              <w:rPr>
                <w:rFonts w:ascii="Arial" w:eastAsia="Times New Roman" w:hAnsi="Arial" w:cs="Arial"/>
                <w:b/>
                <w:bCs/>
                <w:sz w:val="16"/>
              </w:rPr>
              <w:t>sur</w:t>
            </w:r>
            <w:proofErr w:type="spellEnd"/>
            <w:r w:rsidR="00B638DD" w:rsidRPr="00B638DD">
              <w:rPr>
                <w:rFonts w:ascii="Arial" w:eastAsia="Times New Roman" w:hAnsi="Arial" w:cs="Arial"/>
                <w:b/>
                <w:bCs/>
                <w:sz w:val="16"/>
              </w:rPr>
              <w:t>-</w:t>
            </w:r>
            <w:proofErr w:type="spellStart"/>
            <w:r w:rsidR="00B638DD" w:rsidRPr="00B638DD">
              <w:rPr>
                <w:rFonts w:ascii="Arial" w:eastAsia="Times New Roman" w:hAnsi="Arial" w:cs="Arial"/>
                <w:b/>
                <w:bCs/>
                <w:sz w:val="16"/>
              </w:rPr>
              <w:t>Escaut</w:t>
            </w:r>
            <w:proofErr w:type="spellEnd"/>
            <w:r w:rsidR="00B638DD" w:rsidRPr="00B638DD">
              <w:rPr>
                <w:rFonts w:ascii="Arial" w:eastAsia="Times New Roman" w:hAnsi="Arial" w:cs="Arial"/>
                <w:b/>
                <w:bCs/>
                <w:sz w:val="16"/>
              </w:rPr>
              <w:t>, Aug.</w:t>
            </w:r>
            <w:r w:rsidRPr="00BC7DC9">
              <w:rPr>
                <w:rFonts w:ascii="Arial" w:eastAsia="Times New Roman" w:hAnsi="Arial" w:cs="Arial"/>
                <w:b/>
                <w:bCs/>
                <w:sz w:val="16"/>
              </w:rPr>
              <w:t xml:space="preserve"> 27, 1521</w:t>
            </w:r>
            <w:r w:rsidR="00B638DD" w:rsidRPr="00B638DD">
              <w:rPr>
                <w:rFonts w:ascii="Arial" w:eastAsia="Times New Roman" w:hAnsi="Arial" w:cs="Arial"/>
                <w:b/>
                <w:bCs/>
                <w:sz w:val="16"/>
              </w:rPr>
              <w:t>)</w:t>
            </w:r>
          </w:p>
          <w:p w:rsidR="00BC7DC9" w:rsidRPr="00BC7DC9" w:rsidRDefault="00BC7DC9" w:rsidP="00E91C61">
            <w:pPr>
              <w:spacing w:before="100" w:beforeAutospacing="1" w:after="100" w:afterAutospacing="1" w:line="240" w:lineRule="auto"/>
              <w:ind w:left="540" w:right="360"/>
              <w:rPr>
                <w:rFonts w:ascii="Arial" w:eastAsia="Times New Roman" w:hAnsi="Arial" w:cs="Arial"/>
                <w:sz w:val="20"/>
                <w:szCs w:val="20"/>
              </w:rPr>
            </w:pPr>
            <w:r w:rsidRPr="00BC7DC9">
              <w:rPr>
                <w:rFonts w:ascii="Arial" w:eastAsia="Times New Roman" w:hAnsi="Arial" w:cs="Arial"/>
                <w:sz w:val="20"/>
                <w:szCs w:val="20"/>
              </w:rPr>
              <w:t xml:space="preserve">Not much is known about the life </w:t>
            </w:r>
            <w:proofErr w:type="spellStart"/>
            <w:r w:rsidRPr="00BC7DC9">
              <w:rPr>
                <w:rFonts w:ascii="Arial" w:eastAsia="Times New Roman" w:hAnsi="Arial" w:cs="Arial"/>
                <w:sz w:val="20"/>
                <w:szCs w:val="20"/>
              </w:rPr>
              <w:t>Josquin</w:t>
            </w:r>
            <w:proofErr w:type="spellEnd"/>
            <w:r w:rsidRPr="00BC7DC9">
              <w:rPr>
                <w:rFonts w:ascii="Arial" w:eastAsia="Times New Roman" w:hAnsi="Arial" w:cs="Arial"/>
                <w:sz w:val="20"/>
                <w:szCs w:val="20"/>
              </w:rPr>
              <w:t xml:space="preserve"> des </w:t>
            </w:r>
            <w:proofErr w:type="spellStart"/>
            <w:r w:rsidRPr="00BC7DC9">
              <w:rPr>
                <w:rFonts w:ascii="Arial" w:eastAsia="Times New Roman" w:hAnsi="Arial" w:cs="Arial"/>
                <w:sz w:val="20"/>
                <w:szCs w:val="20"/>
              </w:rPr>
              <w:t>Prez</w:t>
            </w:r>
            <w:proofErr w:type="spellEnd"/>
            <w:r w:rsidRPr="00BC7DC9">
              <w:rPr>
                <w:rFonts w:ascii="Arial" w:eastAsia="Times New Roman" w:hAnsi="Arial" w:cs="Arial"/>
                <w:sz w:val="20"/>
                <w:szCs w:val="20"/>
              </w:rPr>
              <w:t xml:space="preserve">, but it is generally agreed that he studied under the earlier Renaissance master </w:t>
            </w:r>
            <w:r w:rsidRPr="00BC7DC9">
              <w:rPr>
                <w:rFonts w:ascii="Arial" w:eastAsia="Times New Roman" w:hAnsi="Arial" w:cs="Arial"/>
                <w:b/>
                <w:bCs/>
                <w:sz w:val="20"/>
              </w:rPr>
              <w:t xml:space="preserve">Johannes </w:t>
            </w:r>
            <w:proofErr w:type="spellStart"/>
            <w:r w:rsidRPr="00BC7DC9">
              <w:rPr>
                <w:rFonts w:ascii="Arial" w:eastAsia="Times New Roman" w:hAnsi="Arial" w:cs="Arial"/>
                <w:b/>
                <w:bCs/>
                <w:sz w:val="20"/>
              </w:rPr>
              <w:t>Ockeghem</w:t>
            </w:r>
            <w:proofErr w:type="spellEnd"/>
            <w:r w:rsidRPr="00BC7DC9">
              <w:rPr>
                <w:rFonts w:ascii="Arial" w:eastAsia="Times New Roman" w:hAnsi="Arial" w:cs="Arial"/>
                <w:b/>
                <w:bCs/>
                <w:sz w:val="20"/>
              </w:rPr>
              <w:t xml:space="preserve"> (c.1420-1495)</w:t>
            </w:r>
            <w:r w:rsidRPr="00BC7DC9">
              <w:rPr>
                <w:rFonts w:ascii="Arial" w:eastAsia="Times New Roman" w:hAnsi="Arial" w:cs="Arial"/>
                <w:sz w:val="20"/>
                <w:szCs w:val="20"/>
              </w:rPr>
              <w:t xml:space="preserve">, who was the first great master of the </w:t>
            </w:r>
            <w:r w:rsidRPr="00BC7DC9">
              <w:rPr>
                <w:rFonts w:ascii="Arial" w:eastAsia="Times New Roman" w:hAnsi="Arial" w:cs="Arial"/>
                <w:i/>
                <w:iCs/>
                <w:sz w:val="20"/>
              </w:rPr>
              <w:t>Flemish</w:t>
            </w:r>
            <w:r w:rsidRPr="00BC7DC9">
              <w:rPr>
                <w:rFonts w:ascii="Arial" w:eastAsia="Times New Roman" w:hAnsi="Arial" w:cs="Arial"/>
                <w:sz w:val="20"/>
                <w:szCs w:val="20"/>
              </w:rPr>
              <w:t xml:space="preserve"> school of Renaissance composers. There are references to </w:t>
            </w:r>
            <w:proofErr w:type="spellStart"/>
            <w:proofErr w:type="gramStart"/>
            <w:r w:rsidRPr="00BC7DC9">
              <w:rPr>
                <w:rFonts w:ascii="Arial" w:eastAsia="Times New Roman" w:hAnsi="Arial" w:cs="Arial"/>
                <w:sz w:val="20"/>
                <w:szCs w:val="20"/>
              </w:rPr>
              <w:t>Josquin’s</w:t>
            </w:r>
            <w:proofErr w:type="spellEnd"/>
            <w:r w:rsidRPr="00BC7DC9">
              <w:rPr>
                <w:rFonts w:ascii="Arial" w:eastAsia="Times New Roman" w:hAnsi="Arial" w:cs="Arial"/>
                <w:sz w:val="20"/>
                <w:szCs w:val="20"/>
              </w:rPr>
              <w:t xml:space="preserve"> having</w:t>
            </w:r>
            <w:proofErr w:type="gramEnd"/>
            <w:r w:rsidRPr="00BC7DC9">
              <w:rPr>
                <w:rFonts w:ascii="Arial" w:eastAsia="Times New Roman" w:hAnsi="Arial" w:cs="Arial"/>
                <w:sz w:val="20"/>
                <w:szCs w:val="20"/>
              </w:rPr>
              <w:t xml:space="preserve"> served at several courts in Italy and France, and at the Sistine Chapel in Rome. He died while serving as canon of the collegiate church at Condé. Among his surviving works are more than a dozen </w:t>
            </w:r>
            <w:r w:rsidRPr="00BC7DC9">
              <w:rPr>
                <w:rFonts w:ascii="Arial" w:eastAsia="Times New Roman" w:hAnsi="Arial" w:cs="Arial"/>
                <w:i/>
                <w:iCs/>
                <w:sz w:val="20"/>
              </w:rPr>
              <w:t>masses</w:t>
            </w:r>
            <w:r w:rsidRPr="00BC7DC9">
              <w:rPr>
                <w:rFonts w:ascii="Arial" w:eastAsia="Times New Roman" w:hAnsi="Arial" w:cs="Arial"/>
                <w:sz w:val="20"/>
                <w:szCs w:val="20"/>
              </w:rPr>
              <w:t xml:space="preserve">, a hundred </w:t>
            </w:r>
            <w:r w:rsidRPr="00BC7DC9">
              <w:rPr>
                <w:rFonts w:ascii="Arial" w:eastAsia="Times New Roman" w:hAnsi="Arial" w:cs="Arial"/>
                <w:i/>
                <w:iCs/>
                <w:sz w:val="20"/>
              </w:rPr>
              <w:t>motets</w:t>
            </w:r>
            <w:r w:rsidRPr="00BC7DC9">
              <w:rPr>
                <w:rFonts w:ascii="Arial" w:eastAsia="Times New Roman" w:hAnsi="Arial" w:cs="Arial"/>
                <w:sz w:val="20"/>
                <w:szCs w:val="20"/>
              </w:rPr>
              <w:t xml:space="preserve">, and a good deal of secular music. </w:t>
            </w:r>
          </w:p>
          <w:p w:rsidR="00BC7DC9" w:rsidRDefault="00BC7DC9" w:rsidP="00E91C61">
            <w:pPr>
              <w:spacing w:before="100" w:beforeAutospacing="1" w:after="100" w:afterAutospacing="1" w:line="240" w:lineRule="auto"/>
              <w:ind w:left="540" w:right="360"/>
              <w:rPr>
                <w:rFonts w:ascii="Arial" w:eastAsia="Times New Roman" w:hAnsi="Arial" w:cs="Arial"/>
                <w:sz w:val="20"/>
                <w:szCs w:val="20"/>
              </w:rPr>
            </w:pPr>
            <w:r w:rsidRPr="00BC7DC9">
              <w:rPr>
                <w:rFonts w:ascii="Arial" w:eastAsia="Times New Roman" w:hAnsi="Arial" w:cs="Arial"/>
                <w:sz w:val="20"/>
                <w:szCs w:val="20"/>
              </w:rPr>
              <w:t xml:space="preserve">The serene, almost otherworldly choral sound of the Flemish school’s style can be heard in the </w:t>
            </w:r>
            <w:r w:rsidRPr="00BC7DC9">
              <w:rPr>
                <w:rFonts w:ascii="Arial" w:eastAsia="Times New Roman" w:hAnsi="Arial" w:cs="Arial"/>
                <w:b/>
                <w:bCs/>
                <w:sz w:val="20"/>
              </w:rPr>
              <w:t>Gloria</w:t>
            </w:r>
            <w:r w:rsidRPr="00BC7DC9">
              <w:rPr>
                <w:rFonts w:ascii="Arial" w:eastAsia="Times New Roman" w:hAnsi="Arial" w:cs="Arial"/>
                <w:sz w:val="20"/>
                <w:szCs w:val="20"/>
              </w:rPr>
              <w:t xml:space="preserve"> from </w:t>
            </w:r>
            <w:proofErr w:type="spellStart"/>
            <w:r w:rsidRPr="00BC7DC9">
              <w:rPr>
                <w:rFonts w:ascii="Arial" w:eastAsia="Times New Roman" w:hAnsi="Arial" w:cs="Arial"/>
                <w:sz w:val="20"/>
                <w:szCs w:val="20"/>
              </w:rPr>
              <w:t>Josquin’s</w:t>
            </w:r>
            <w:proofErr w:type="spellEnd"/>
            <w:r w:rsidRPr="00BC7DC9">
              <w:rPr>
                <w:rFonts w:ascii="Arial" w:eastAsia="Times New Roman" w:hAnsi="Arial" w:cs="Arial"/>
                <w:sz w:val="20"/>
                <w:szCs w:val="20"/>
              </w:rPr>
              <w:t xml:space="preserve"> </w:t>
            </w:r>
            <w:hyperlink r:id="rId14" w:history="1">
              <w:proofErr w:type="spellStart"/>
              <w:r w:rsidRPr="00BC7DC9">
                <w:rPr>
                  <w:rFonts w:ascii="Arial" w:eastAsia="Times New Roman" w:hAnsi="Arial" w:cs="Arial"/>
                  <w:color w:val="183C72"/>
                  <w:sz w:val="20"/>
                  <w:u w:val="single"/>
                </w:rPr>
                <w:t>Missa</w:t>
              </w:r>
              <w:proofErr w:type="spellEnd"/>
              <w:r w:rsidRPr="00BC7DC9">
                <w:rPr>
                  <w:rFonts w:ascii="Arial" w:eastAsia="Times New Roman" w:hAnsi="Arial" w:cs="Arial"/>
                  <w:color w:val="183C72"/>
                  <w:sz w:val="20"/>
                  <w:u w:val="single"/>
                </w:rPr>
                <w:t xml:space="preserve"> </w:t>
              </w:r>
              <w:proofErr w:type="spellStart"/>
              <w:r w:rsidRPr="00BC7DC9">
                <w:rPr>
                  <w:rFonts w:ascii="Arial" w:eastAsia="Times New Roman" w:hAnsi="Arial" w:cs="Arial"/>
                  <w:color w:val="183C72"/>
                  <w:sz w:val="20"/>
                  <w:u w:val="single"/>
                </w:rPr>
                <w:t>L’homme</w:t>
              </w:r>
              <w:proofErr w:type="spellEnd"/>
              <w:r w:rsidRPr="00BC7DC9">
                <w:rPr>
                  <w:rFonts w:ascii="Arial" w:eastAsia="Times New Roman" w:hAnsi="Arial" w:cs="Arial"/>
                  <w:color w:val="183C72"/>
                  <w:sz w:val="20"/>
                  <w:u w:val="single"/>
                </w:rPr>
                <w:t xml:space="preserve"> </w:t>
              </w:r>
              <w:proofErr w:type="spellStart"/>
              <w:r w:rsidRPr="00BC7DC9">
                <w:rPr>
                  <w:rFonts w:ascii="Arial" w:eastAsia="Times New Roman" w:hAnsi="Arial" w:cs="Arial"/>
                  <w:color w:val="183C72"/>
                  <w:sz w:val="20"/>
                  <w:u w:val="single"/>
                </w:rPr>
                <w:t>armé</w:t>
              </w:r>
              <w:proofErr w:type="spellEnd"/>
            </w:hyperlink>
            <w:r w:rsidRPr="00BC7DC9">
              <w:rPr>
                <w:rFonts w:ascii="Arial" w:eastAsia="Times New Roman" w:hAnsi="Arial" w:cs="Arial"/>
                <w:sz w:val="20"/>
                <w:szCs w:val="20"/>
              </w:rPr>
              <w:t xml:space="preserve">. Flemish composers of the time often based the </w:t>
            </w:r>
            <w:r w:rsidRPr="00BC7DC9">
              <w:rPr>
                <w:rFonts w:ascii="Arial" w:eastAsia="Times New Roman" w:hAnsi="Arial" w:cs="Arial"/>
                <w:i/>
                <w:iCs/>
                <w:sz w:val="20"/>
              </w:rPr>
              <w:t xml:space="preserve">cantus </w:t>
            </w:r>
            <w:proofErr w:type="spellStart"/>
            <w:r w:rsidRPr="00BC7DC9">
              <w:rPr>
                <w:rFonts w:ascii="Arial" w:eastAsia="Times New Roman" w:hAnsi="Arial" w:cs="Arial"/>
                <w:i/>
                <w:iCs/>
                <w:sz w:val="20"/>
              </w:rPr>
              <w:t>firmus</w:t>
            </w:r>
            <w:proofErr w:type="spellEnd"/>
            <w:r w:rsidRPr="00BC7DC9">
              <w:rPr>
                <w:rFonts w:ascii="Arial" w:eastAsia="Times New Roman" w:hAnsi="Arial" w:cs="Arial"/>
                <w:sz w:val="20"/>
                <w:szCs w:val="20"/>
              </w:rPr>
              <w:t xml:space="preserve"> on a popular melody of the day, composing new music for the other voices in counterpoint to the tune. The simultaneous interweaving of several melodic lines (usually four: </w:t>
            </w:r>
            <w:r w:rsidRPr="00BC7DC9">
              <w:rPr>
                <w:rFonts w:ascii="Arial" w:eastAsia="Times New Roman" w:hAnsi="Arial" w:cs="Arial"/>
                <w:i/>
                <w:iCs/>
                <w:sz w:val="20"/>
              </w:rPr>
              <w:t>soprano, alto, tenor, bass</w:t>
            </w:r>
            <w:r w:rsidRPr="00BC7DC9">
              <w:rPr>
                <w:rFonts w:ascii="Arial" w:eastAsia="Times New Roman" w:hAnsi="Arial" w:cs="Arial"/>
                <w:sz w:val="20"/>
                <w:szCs w:val="20"/>
              </w:rPr>
              <w:t xml:space="preserve">) in a musical composition is known as </w:t>
            </w:r>
            <w:r w:rsidRPr="00BC7DC9">
              <w:rPr>
                <w:rFonts w:ascii="Arial" w:eastAsia="Times New Roman" w:hAnsi="Arial" w:cs="Arial"/>
                <w:i/>
                <w:iCs/>
                <w:sz w:val="20"/>
              </w:rPr>
              <w:t>polyphony</w:t>
            </w:r>
            <w:r w:rsidRPr="00BC7DC9">
              <w:rPr>
                <w:rFonts w:ascii="Arial" w:eastAsia="Times New Roman" w:hAnsi="Arial" w:cs="Arial"/>
                <w:sz w:val="20"/>
                <w:szCs w:val="20"/>
              </w:rPr>
              <w:t xml:space="preserve">. Polyphonic music of the Renaissance could be very complex and intricate, often obscuring the words and the meaning of the text which had been set. </w:t>
            </w:r>
            <w:bookmarkStart w:id="2" w:name="palestrina"/>
            <w:bookmarkEnd w:id="2"/>
          </w:p>
          <w:p w:rsidR="00BC7DC9" w:rsidRPr="00BC7DC9" w:rsidRDefault="00BC7DC9" w:rsidP="00E91C61">
            <w:pPr>
              <w:spacing w:before="100" w:beforeAutospacing="1" w:after="0" w:line="240" w:lineRule="auto"/>
              <w:ind w:left="540" w:right="360"/>
              <w:rPr>
                <w:rFonts w:ascii="Arial" w:eastAsia="Times New Roman" w:hAnsi="Arial" w:cs="Arial"/>
                <w:sz w:val="20"/>
                <w:szCs w:val="20"/>
              </w:rPr>
            </w:pPr>
            <w:r w:rsidRPr="00BC7DC9">
              <w:rPr>
                <w:rFonts w:ascii="Arial" w:eastAsia="Times New Roman" w:hAnsi="Arial" w:cs="Arial"/>
                <w:b/>
                <w:bCs/>
                <w:sz w:val="26"/>
                <w:szCs w:val="26"/>
              </w:rPr>
              <w:t xml:space="preserve">Giovanni </w:t>
            </w:r>
            <w:proofErr w:type="spellStart"/>
            <w:r w:rsidRPr="00BC7DC9">
              <w:rPr>
                <w:rFonts w:ascii="Arial" w:eastAsia="Times New Roman" w:hAnsi="Arial" w:cs="Arial"/>
                <w:b/>
                <w:bCs/>
                <w:sz w:val="26"/>
                <w:szCs w:val="26"/>
              </w:rPr>
              <w:t>Pierluigi</w:t>
            </w:r>
            <w:proofErr w:type="spellEnd"/>
            <w:r w:rsidRPr="00BC7DC9">
              <w:rPr>
                <w:rFonts w:ascii="Arial" w:eastAsia="Times New Roman" w:hAnsi="Arial" w:cs="Arial"/>
                <w:b/>
                <w:bCs/>
                <w:sz w:val="26"/>
                <w:szCs w:val="26"/>
              </w:rPr>
              <w:t xml:space="preserve"> </w:t>
            </w:r>
            <w:proofErr w:type="spellStart"/>
            <w:r w:rsidRPr="00BC7DC9">
              <w:rPr>
                <w:rFonts w:ascii="Arial" w:eastAsia="Times New Roman" w:hAnsi="Arial" w:cs="Arial"/>
                <w:b/>
                <w:bCs/>
                <w:sz w:val="26"/>
                <w:szCs w:val="26"/>
              </w:rPr>
              <w:t>da</w:t>
            </w:r>
            <w:proofErr w:type="spellEnd"/>
            <w:r w:rsidRPr="00BC7DC9">
              <w:rPr>
                <w:rFonts w:ascii="Arial" w:eastAsia="Times New Roman" w:hAnsi="Arial" w:cs="Arial"/>
                <w:b/>
                <w:bCs/>
                <w:sz w:val="26"/>
                <w:szCs w:val="26"/>
              </w:rPr>
              <w:t xml:space="preserve"> Palestrina </w:t>
            </w:r>
            <w:r w:rsidRPr="00BC7DC9">
              <w:rPr>
                <w:rFonts w:ascii="Arial" w:eastAsia="Times New Roman" w:hAnsi="Arial" w:cs="Arial"/>
                <w:sz w:val="14"/>
                <w:szCs w:val="20"/>
              </w:rPr>
              <w:t>(</w:t>
            </w:r>
            <w:r w:rsidRPr="00BC7DC9">
              <w:rPr>
                <w:rFonts w:ascii="Arial" w:eastAsia="Times New Roman" w:hAnsi="Arial" w:cs="Arial"/>
                <w:b/>
                <w:bCs/>
                <w:sz w:val="16"/>
              </w:rPr>
              <w:t xml:space="preserve">Born: Palestrina, near Rome, ca. 1525; </w:t>
            </w:r>
            <w:r>
              <w:rPr>
                <w:rFonts w:ascii="Arial" w:eastAsia="Times New Roman" w:hAnsi="Arial" w:cs="Arial"/>
                <w:b/>
                <w:bCs/>
                <w:sz w:val="16"/>
              </w:rPr>
              <w:t>Died: Rome, Feb.</w:t>
            </w:r>
            <w:r w:rsidRPr="00BC7DC9">
              <w:rPr>
                <w:rFonts w:ascii="Arial" w:eastAsia="Times New Roman" w:hAnsi="Arial" w:cs="Arial"/>
                <w:b/>
                <w:bCs/>
                <w:sz w:val="16"/>
              </w:rPr>
              <w:t xml:space="preserve"> 2, 1594) </w:t>
            </w:r>
          </w:p>
          <w:p w:rsidR="00BC7DC9" w:rsidRPr="00BC7DC9" w:rsidRDefault="00B638DD" w:rsidP="00E91C61">
            <w:pPr>
              <w:spacing w:before="100" w:beforeAutospacing="1" w:after="100" w:afterAutospacing="1" w:line="240" w:lineRule="auto"/>
              <w:ind w:left="540" w:right="360"/>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0288" behindDoc="1" locked="0" layoutInCell="1" allowOverlap="1">
                  <wp:simplePos x="0" y="0"/>
                  <wp:positionH relativeFrom="column">
                    <wp:posOffset>-1733550</wp:posOffset>
                  </wp:positionH>
                  <wp:positionV relativeFrom="paragraph">
                    <wp:posOffset>-173355</wp:posOffset>
                  </wp:positionV>
                  <wp:extent cx="1609725" cy="2209800"/>
                  <wp:effectExtent l="19050" t="0" r="9525" b="0"/>
                  <wp:wrapTight wrapText="bothSides">
                    <wp:wrapPolygon edited="0">
                      <wp:start x="-256" y="0"/>
                      <wp:lineTo x="-256" y="21414"/>
                      <wp:lineTo x="21728" y="21414"/>
                      <wp:lineTo x="21728" y="0"/>
                      <wp:lineTo x="-256" y="0"/>
                    </wp:wrapPolygon>
                  </wp:wrapTight>
                  <wp:docPr id="7" name="Picture 7" descr="painting of Palest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inting of Palestrina"/>
                          <pic:cNvPicPr>
                            <a:picLocks noChangeAspect="1" noChangeArrowheads="1"/>
                          </pic:cNvPicPr>
                        </pic:nvPicPr>
                        <pic:blipFill>
                          <a:blip r:embed="rId15" cstate="print"/>
                          <a:srcRect/>
                          <a:stretch>
                            <a:fillRect/>
                          </a:stretch>
                        </pic:blipFill>
                        <pic:spPr bwMode="auto">
                          <a:xfrm>
                            <a:off x="0" y="0"/>
                            <a:ext cx="1609725" cy="2209800"/>
                          </a:xfrm>
                          <a:prstGeom prst="rect">
                            <a:avLst/>
                          </a:prstGeom>
                          <a:noFill/>
                          <a:ln w="9525">
                            <a:noFill/>
                            <a:miter lim="800000"/>
                            <a:headEnd/>
                            <a:tailEnd/>
                          </a:ln>
                        </pic:spPr>
                      </pic:pic>
                    </a:graphicData>
                  </a:graphic>
                </wp:anchor>
              </w:drawing>
            </w:r>
            <w:r w:rsidR="00BC7DC9" w:rsidRPr="00BC7DC9">
              <w:rPr>
                <w:rFonts w:ascii="Arial" w:eastAsia="Times New Roman" w:hAnsi="Arial" w:cs="Arial"/>
                <w:sz w:val="20"/>
                <w:szCs w:val="20"/>
              </w:rPr>
              <w:t>Palestrina spent much of his career in Rome, serving as organist and choir master at both the Sistine Chapel and at St. Peter’s. A productive composer, he wrote over a hundred mass settings and over two hundred motets. At the same time, he managed a very successful furrier business, from which he died a very wealthy man.</w:t>
            </w:r>
            <w:r w:rsidR="00BC7DC9" w:rsidRPr="00BC7DC9">
              <w:rPr>
                <w:rFonts w:ascii="Arial" w:eastAsia="Times New Roman" w:hAnsi="Arial" w:cs="Arial"/>
                <w:sz w:val="20"/>
                <w:szCs w:val="20"/>
              </w:rPr>
              <w:br/>
              <w:t xml:space="preserve">In keeping with the strictures of the Council of Trent (1545-1563) to rid the music of the Catholic rite of the "worldly excesses" of the Protestant Reformation, Palestrina composed in a purer, more restrained style. Gone are the vocal lines based on popular melodies. Instead, each voice part resembles a chant melody, each with its own profile and crystalline line. In the opening </w:t>
            </w:r>
            <w:r w:rsidR="00BC7DC9" w:rsidRPr="00BC7DC9">
              <w:rPr>
                <w:rFonts w:ascii="Arial" w:eastAsia="Times New Roman" w:hAnsi="Arial" w:cs="Arial"/>
                <w:b/>
                <w:bCs/>
                <w:sz w:val="20"/>
              </w:rPr>
              <w:t>Kyrie</w:t>
            </w:r>
            <w:r w:rsidR="00BC7DC9" w:rsidRPr="00BC7DC9">
              <w:rPr>
                <w:rFonts w:ascii="Arial" w:eastAsia="Times New Roman" w:hAnsi="Arial" w:cs="Arial"/>
                <w:sz w:val="20"/>
                <w:szCs w:val="20"/>
              </w:rPr>
              <w:t xml:space="preserve"> from Palestrina’s most famous work, the </w:t>
            </w:r>
            <w:hyperlink r:id="rId16" w:history="1">
              <w:r w:rsidR="00BC7DC9" w:rsidRPr="00BC7DC9">
                <w:rPr>
                  <w:rFonts w:ascii="Arial" w:eastAsia="Times New Roman" w:hAnsi="Arial" w:cs="Arial"/>
                  <w:color w:val="183C72"/>
                  <w:sz w:val="20"/>
                  <w:u w:val="single"/>
                </w:rPr>
                <w:t>Pope Marcellus Mass</w:t>
              </w:r>
            </w:hyperlink>
            <w:r w:rsidR="00E91C61">
              <w:rPr>
                <w:rFonts w:ascii="Arial" w:eastAsia="Times New Roman" w:hAnsi="Arial" w:cs="Arial"/>
                <w:sz w:val="20"/>
                <w:szCs w:val="20"/>
              </w:rPr>
              <w:t xml:space="preserve">, </w:t>
            </w:r>
            <w:r w:rsidR="00BC7DC9" w:rsidRPr="00BC7DC9">
              <w:rPr>
                <w:rFonts w:ascii="Arial" w:eastAsia="Times New Roman" w:hAnsi="Arial" w:cs="Arial"/>
                <w:sz w:val="20"/>
                <w:szCs w:val="20"/>
              </w:rPr>
              <w:t>the classic, pure lines of the text set clearly amidst the various voices of the choir</w:t>
            </w:r>
            <w:r w:rsidR="00E91C61">
              <w:rPr>
                <w:rFonts w:ascii="Arial" w:eastAsia="Times New Roman" w:hAnsi="Arial" w:cs="Arial"/>
                <w:sz w:val="20"/>
                <w:szCs w:val="20"/>
              </w:rPr>
              <w:t xml:space="preserve"> can be heard</w:t>
            </w:r>
            <w:r w:rsidR="00BC7DC9" w:rsidRPr="00BC7DC9">
              <w:rPr>
                <w:rFonts w:ascii="Arial" w:eastAsia="Times New Roman" w:hAnsi="Arial" w:cs="Arial"/>
                <w:sz w:val="20"/>
                <w:szCs w:val="20"/>
              </w:rPr>
              <w:t xml:space="preserve">. Palestrina’s polyphonic writing is of such quality that many later composers (including </w:t>
            </w:r>
            <w:hyperlink r:id="rId17" w:history="1">
              <w:r w:rsidR="00BC7DC9" w:rsidRPr="00BC7DC9">
                <w:rPr>
                  <w:rFonts w:ascii="Arial" w:eastAsia="Times New Roman" w:hAnsi="Arial" w:cs="Arial"/>
                  <w:color w:val="183C72"/>
                  <w:sz w:val="20"/>
                  <w:u w:val="single"/>
                </w:rPr>
                <w:t>Mozart</w:t>
              </w:r>
            </w:hyperlink>
            <w:r w:rsidR="00BC7DC9" w:rsidRPr="00BC7DC9">
              <w:rPr>
                <w:rFonts w:ascii="Arial" w:eastAsia="Times New Roman" w:hAnsi="Arial" w:cs="Arial"/>
                <w:sz w:val="20"/>
                <w:szCs w:val="20"/>
              </w:rPr>
              <w:t xml:space="preserve">, </w:t>
            </w:r>
            <w:hyperlink r:id="rId18" w:history="1">
              <w:r w:rsidR="00BC7DC9" w:rsidRPr="00BC7DC9">
                <w:rPr>
                  <w:rFonts w:ascii="Arial" w:eastAsia="Times New Roman" w:hAnsi="Arial" w:cs="Arial"/>
                  <w:color w:val="183C72"/>
                  <w:sz w:val="20"/>
                  <w:u w:val="single"/>
                </w:rPr>
                <w:t>Beethoven</w:t>
              </w:r>
            </w:hyperlink>
            <w:r w:rsidR="00BC7DC9" w:rsidRPr="00BC7DC9">
              <w:rPr>
                <w:rFonts w:ascii="Arial" w:eastAsia="Times New Roman" w:hAnsi="Arial" w:cs="Arial"/>
                <w:sz w:val="20"/>
                <w:szCs w:val="20"/>
              </w:rPr>
              <w:t xml:space="preserve">, and </w:t>
            </w:r>
            <w:hyperlink r:id="rId19" w:history="1">
              <w:r w:rsidR="00BC7DC9" w:rsidRPr="00BC7DC9">
                <w:rPr>
                  <w:rFonts w:ascii="Arial" w:eastAsia="Times New Roman" w:hAnsi="Arial" w:cs="Arial"/>
                  <w:color w:val="183C72"/>
                  <w:sz w:val="20"/>
                  <w:u w:val="single"/>
                </w:rPr>
                <w:t>Brahms</w:t>
              </w:r>
            </w:hyperlink>
            <w:r w:rsidR="00BC7DC9" w:rsidRPr="00BC7DC9">
              <w:rPr>
                <w:rFonts w:ascii="Arial" w:eastAsia="Times New Roman" w:hAnsi="Arial" w:cs="Arial"/>
                <w:sz w:val="20"/>
                <w:szCs w:val="20"/>
              </w:rPr>
              <w:t>) spent their early years studying counterpoint in the "Palestrina style" as set down in</w:t>
            </w:r>
            <w:r w:rsidR="00E91C61">
              <w:rPr>
                <w:rFonts w:ascii="Arial" w:eastAsia="Times New Roman" w:hAnsi="Arial" w:cs="Arial"/>
                <w:sz w:val="20"/>
                <w:szCs w:val="20"/>
              </w:rPr>
              <w:t xml:space="preserve"> a </w:t>
            </w:r>
            <w:r w:rsidR="00BC7DC9" w:rsidRPr="00BC7DC9">
              <w:rPr>
                <w:rFonts w:ascii="Arial" w:eastAsia="Times New Roman" w:hAnsi="Arial" w:cs="Arial"/>
                <w:sz w:val="20"/>
                <w:szCs w:val="20"/>
              </w:rPr>
              <w:t>book by J. J. Fux</w:t>
            </w:r>
            <w:r w:rsidR="00E91C61">
              <w:rPr>
                <w:rFonts w:ascii="Arial" w:eastAsia="Times New Roman" w:hAnsi="Arial" w:cs="Arial"/>
                <w:sz w:val="20"/>
                <w:szCs w:val="20"/>
              </w:rPr>
              <w:t>.</w:t>
            </w:r>
            <w:bookmarkStart w:id="3" w:name="madrigal"/>
            <w:bookmarkEnd w:id="3"/>
          </w:p>
        </w:tc>
      </w:tr>
    </w:tbl>
    <w:p w:rsidR="00DA5210" w:rsidRDefault="00DA5210" w:rsidP="00E91C61">
      <w:pPr>
        <w:ind w:left="540" w:right="360"/>
      </w:pPr>
    </w:p>
    <w:sectPr w:rsidR="00DA5210" w:rsidSect="00E91C6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DC9" w:rsidRDefault="00BC7DC9" w:rsidP="00BC7DC9">
      <w:pPr>
        <w:spacing w:after="0" w:line="240" w:lineRule="auto"/>
      </w:pPr>
      <w:r>
        <w:separator/>
      </w:r>
    </w:p>
  </w:endnote>
  <w:endnote w:type="continuationSeparator" w:id="0">
    <w:p w:rsidR="00BC7DC9" w:rsidRDefault="00BC7DC9" w:rsidP="00BC7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DD" w:rsidRDefault="00B638DD">
    <w:pPr>
      <w:pStyle w:val="Footer"/>
    </w:pPr>
    <w:r w:rsidRPr="00BC7DC9">
      <w:rPr>
        <w:rFonts w:ascii="Arial" w:eastAsia="Times New Roman" w:hAnsi="Arial" w:cs="Arial"/>
        <w:b/>
        <w:bCs/>
        <w:sz w:val="20"/>
      </w:rPr>
      <w:t>Music History 102: a Guide to Western Composers and their music</w:t>
    </w:r>
    <w:r>
      <w:rPr>
        <w:rFonts w:ascii="Arial" w:eastAsia="Times New Roman" w:hAnsi="Arial" w:cs="Arial"/>
        <w:b/>
        <w:bCs/>
        <w:sz w:val="20"/>
        <w:szCs w:val="20"/>
      </w:rPr>
      <w:t xml:space="preserve"> </w:t>
    </w:r>
    <w:r w:rsidRPr="00BC7DC9">
      <w:rPr>
        <w:rFonts w:ascii="Arial" w:eastAsia="Times New Roman" w:hAnsi="Arial" w:cs="Arial"/>
        <w:b/>
        <w:bCs/>
        <w:i/>
        <w:iCs/>
        <w:sz w:val="20"/>
      </w:rPr>
      <w:t>Designed, compiled and created by</w:t>
    </w:r>
    <w:r>
      <w:rPr>
        <w:rFonts w:ascii="Arial" w:eastAsia="Times New Roman" w:hAnsi="Arial" w:cs="Arial"/>
        <w:sz w:val="20"/>
        <w:szCs w:val="20"/>
      </w:rPr>
      <w:t xml:space="preserve"> </w:t>
    </w:r>
    <w:r w:rsidRPr="00BC7DC9">
      <w:rPr>
        <w:rFonts w:ascii="Arial" w:eastAsia="Times New Roman" w:hAnsi="Arial" w:cs="Arial"/>
        <w:sz w:val="20"/>
        <w:szCs w:val="20"/>
      </w:rPr>
      <w:t xml:space="preserve">Robert </w:t>
    </w:r>
    <w:proofErr w:type="spellStart"/>
    <w:r w:rsidRPr="00BC7DC9">
      <w:rPr>
        <w:rFonts w:ascii="Arial" w:eastAsia="Times New Roman" w:hAnsi="Arial" w:cs="Arial"/>
        <w:sz w:val="20"/>
        <w:szCs w:val="20"/>
      </w:rPr>
      <w:t>Sherrane</w:t>
    </w:r>
    <w:proofErr w:type="spellEnd"/>
    <w:r>
      <w:rPr>
        <w:rFonts w:ascii="Arial" w:eastAsia="Times New Roman" w:hAnsi="Arial" w:cs="Arial"/>
        <w:sz w:val="20"/>
        <w:szCs w:val="20"/>
      </w:rPr>
      <w:t xml:space="preserve"> </w:t>
    </w:r>
    <w:hyperlink r:id="rId1" w:history="1">
      <w:r w:rsidRPr="004076D3">
        <w:rPr>
          <w:rStyle w:val="Hyperlink"/>
          <w:rFonts w:ascii="Arial" w:eastAsia="Times New Roman" w:hAnsi="Arial" w:cs="Arial"/>
          <w:sz w:val="20"/>
          <w:szCs w:val="20"/>
        </w:rPr>
        <w:t>http://www.ipl.org/div/mushist/ren/index.html</w:t>
      </w:r>
    </w:hyperlink>
    <w:r>
      <w:rPr>
        <w:rFonts w:ascii="Arial" w:eastAsia="Times New Roman" w:hAnsi="Arial" w:cs="Arial"/>
        <w:sz w:val="20"/>
        <w:szCs w:val="20"/>
      </w:rPr>
      <w:t xml:space="preserve"> </w:t>
    </w:r>
  </w:p>
  <w:p w:rsidR="00B638DD" w:rsidRDefault="00B63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DC9" w:rsidRDefault="00BC7DC9" w:rsidP="00BC7DC9">
      <w:pPr>
        <w:spacing w:after="0" w:line="240" w:lineRule="auto"/>
      </w:pPr>
      <w:r>
        <w:separator/>
      </w:r>
    </w:p>
  </w:footnote>
  <w:footnote w:type="continuationSeparator" w:id="0">
    <w:p w:rsidR="00BC7DC9" w:rsidRDefault="00BC7DC9" w:rsidP="00BC7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C9" w:rsidRPr="00BC7DC9" w:rsidRDefault="00BC7DC9" w:rsidP="00BC7DC9">
    <w:pPr>
      <w:pStyle w:val="Header"/>
      <w:jc w:val="center"/>
      <w:rPr>
        <w:b/>
      </w:rPr>
    </w:pPr>
    <w:r w:rsidRPr="00BC7DC9">
      <w:rPr>
        <w:b/>
        <w:sz w:val="36"/>
      </w:rPr>
      <w:t>Music History 102: The Renaissance</w:t>
    </w:r>
  </w:p>
  <w:p w:rsidR="00BC7DC9" w:rsidRDefault="00BC7D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7DC9"/>
    <w:rsid w:val="004515DC"/>
    <w:rsid w:val="00451C6D"/>
    <w:rsid w:val="004F3FDE"/>
    <w:rsid w:val="00784DCE"/>
    <w:rsid w:val="00B638DD"/>
    <w:rsid w:val="00BC7DC9"/>
    <w:rsid w:val="00DA5210"/>
    <w:rsid w:val="00E91C61"/>
    <w:rsid w:val="00F16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10"/>
  </w:style>
  <w:style w:type="paragraph" w:styleId="Heading1">
    <w:name w:val="heading 1"/>
    <w:basedOn w:val="Normal"/>
    <w:link w:val="Heading1Char"/>
    <w:uiPriority w:val="9"/>
    <w:qFormat/>
    <w:rsid w:val="00BC7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7D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C7D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D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D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7DC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C7DC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C7DC9"/>
    <w:rPr>
      <w:color w:val="183C72"/>
      <w:u w:val="single"/>
    </w:rPr>
  </w:style>
  <w:style w:type="paragraph" w:styleId="NormalWeb">
    <w:name w:val="Normal (Web)"/>
    <w:basedOn w:val="Normal"/>
    <w:uiPriority w:val="99"/>
    <w:unhideWhenUsed/>
    <w:rsid w:val="00BC7D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7DC9"/>
    <w:rPr>
      <w:i/>
      <w:iCs/>
    </w:rPr>
  </w:style>
  <w:style w:type="character" w:styleId="Strong">
    <w:name w:val="Strong"/>
    <w:basedOn w:val="DefaultParagraphFont"/>
    <w:uiPriority w:val="22"/>
    <w:qFormat/>
    <w:rsid w:val="00BC7DC9"/>
    <w:rPr>
      <w:b/>
      <w:bCs/>
    </w:rPr>
  </w:style>
  <w:style w:type="paragraph" w:styleId="BalloonText">
    <w:name w:val="Balloon Text"/>
    <w:basedOn w:val="Normal"/>
    <w:link w:val="BalloonTextChar"/>
    <w:uiPriority w:val="99"/>
    <w:semiHidden/>
    <w:unhideWhenUsed/>
    <w:rsid w:val="00BC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C9"/>
    <w:rPr>
      <w:rFonts w:ascii="Tahoma" w:hAnsi="Tahoma" w:cs="Tahoma"/>
      <w:sz w:val="16"/>
      <w:szCs w:val="16"/>
    </w:rPr>
  </w:style>
  <w:style w:type="paragraph" w:styleId="Header">
    <w:name w:val="header"/>
    <w:basedOn w:val="Normal"/>
    <w:link w:val="HeaderChar"/>
    <w:uiPriority w:val="99"/>
    <w:unhideWhenUsed/>
    <w:rsid w:val="00BC7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DC9"/>
  </w:style>
  <w:style w:type="paragraph" w:styleId="Footer">
    <w:name w:val="footer"/>
    <w:basedOn w:val="Normal"/>
    <w:link w:val="FooterChar"/>
    <w:uiPriority w:val="99"/>
    <w:unhideWhenUsed/>
    <w:rsid w:val="00BC7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C9"/>
  </w:style>
</w:styles>
</file>

<file path=word/webSettings.xml><?xml version="1.0" encoding="utf-8"?>
<w:webSettings xmlns:r="http://schemas.openxmlformats.org/officeDocument/2006/relationships" xmlns:w="http://schemas.openxmlformats.org/wordprocessingml/2006/main">
  <w:divs>
    <w:div w:id="1251885356">
      <w:bodyDiv w:val="1"/>
      <w:marLeft w:val="0"/>
      <w:marRight w:val="0"/>
      <w:marTop w:val="0"/>
      <w:marBottom w:val="0"/>
      <w:divBdr>
        <w:top w:val="none" w:sz="0" w:space="0" w:color="auto"/>
        <w:left w:val="none" w:sz="0" w:space="0" w:color="auto"/>
        <w:bottom w:val="none" w:sz="0" w:space="0" w:color="auto"/>
        <w:right w:val="none" w:sz="0" w:space="0" w:color="auto"/>
      </w:divBdr>
      <w:divsChild>
        <w:div w:id="81922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l.org/div/mushist/ren/index.html" TargetMode="External"/><Relationship Id="rId13" Type="http://schemas.openxmlformats.org/officeDocument/2006/relationships/image" Target="media/image2.gif"/><Relationship Id="rId18" Type="http://schemas.openxmlformats.org/officeDocument/2006/relationships/hyperlink" Target="http://www.ipl.org/div/mushist/clas/beethoven.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ipl.org/div/mushist/ren/index.html" TargetMode="External"/><Relationship Id="rId12" Type="http://schemas.openxmlformats.org/officeDocument/2006/relationships/hyperlink" Target="http://www.ipl.org/div/mushist/bar/" TargetMode="External"/><Relationship Id="rId17" Type="http://schemas.openxmlformats.org/officeDocument/2006/relationships/hyperlink" Target="http://www.ipl.org/div/mushist/clas/mozart.html" TargetMode="External"/><Relationship Id="rId2" Type="http://schemas.openxmlformats.org/officeDocument/2006/relationships/settings" Target="settings.xml"/><Relationship Id="rId16" Type="http://schemas.openxmlformats.org/officeDocument/2006/relationships/hyperlink" Target="http://www.ipl.org/div/mushist/MP3/popemass.mp3"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ipl.org/div/mushist/ren/index.html" TargetMode="External"/><Relationship Id="rId11" Type="http://schemas.openxmlformats.org/officeDocument/2006/relationships/hyperlink" Target="http://www.ipl.org/div/mushist/ren/index.html" TargetMode="External"/><Relationship Id="rId5" Type="http://schemas.openxmlformats.org/officeDocument/2006/relationships/endnotes" Target="endnote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ipl.org/div/mushist/MP3/dance.mp3" TargetMode="External"/><Relationship Id="rId19" Type="http://schemas.openxmlformats.org/officeDocument/2006/relationships/hyperlink" Target="http://www.ipl.org/div/mushist/rom/brahms.html" TargetMode="Externa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www.ipl.org/div/mushist/MP3/massarme.mp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pl.org/div/mushist/r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Lornadoone</dc:creator>
  <cp:lastModifiedBy>Lornadoone</cp:lastModifiedBy>
  <cp:revision>4</cp:revision>
  <dcterms:created xsi:type="dcterms:W3CDTF">2011-01-22T22:12:00Z</dcterms:created>
  <dcterms:modified xsi:type="dcterms:W3CDTF">2011-01-24T01:15:00Z</dcterms:modified>
</cp:coreProperties>
</file>